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E9" w:rsidRDefault="00CC781A">
      <w:pPr>
        <w:pStyle w:val="ConsPlusNormal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hyperlink r:id="rId7">
        <w:r w:rsidR="00AD46C2">
          <w:rPr>
            <w:rFonts w:ascii="Times New Roman" w:hAnsi="Times New Roman" w:cs="Times New Roman"/>
            <w:b/>
            <w:bCs/>
            <w:sz w:val="24"/>
            <w:szCs w:val="24"/>
          </w:rPr>
          <w:t>ДОГОВОР ОКАЗАНИЯ УСЛУГ</w:t>
        </w:r>
      </w:hyperlink>
      <w:r w:rsidR="00AD46C2">
        <w:rPr>
          <w:rFonts w:ascii="Times New Roman" w:hAnsi="Times New Roman" w:cs="Times New Roman"/>
          <w:b/>
          <w:bCs/>
          <w:sz w:val="24"/>
          <w:szCs w:val="24"/>
        </w:rPr>
        <w:t xml:space="preserve"> N _____</w:t>
      </w:r>
    </w:p>
    <w:p w:rsidR="00DD52E9" w:rsidRDefault="00DD5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52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2E9" w:rsidRDefault="00AD4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 Самара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52E9" w:rsidRDefault="00AD46C2">
            <w:pPr>
              <w:pStyle w:val="ConsPlusNormal"/>
              <w:ind w:firstLineChars="900"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 ________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 г.</w:t>
            </w:r>
          </w:p>
        </w:tc>
      </w:tr>
    </w:tbl>
    <w:p w:rsidR="00DD52E9" w:rsidRDefault="00AD46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"ЦЕНТР ОЦЕНКИ КВАЛИФИКАЦИИ САМАРА" ООО «ЦОК Самара» далее именуемое "Исполнитель" в лице директора Двоенко Светланы Валентиновны, действующего на основании Устава, с одной стороны, и гражданин РФ _____________________________________________________________________________ (Ф.И.О.), далее именуемый "Заказчик", с другой стороны, далее совместно именуемые "Стороны", заключили настоящий договор (далее - Договор) о нижеследующем:</w:t>
      </w:r>
    </w:p>
    <w:p w:rsidR="00DD52E9" w:rsidRDefault="00DD5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2E9" w:rsidRDefault="00AD46C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D52E9" w:rsidRDefault="00AD46C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Исполнитель обязуется оказать Заказчику услуги по проведению независимой оценки квалификации в форме профессионального экзамена, а Заказчик обязуется принять и оплатить оказанные услуги в порядке и на условиях, предусмотренных Договором.</w:t>
      </w:r>
    </w:p>
    <w:p w:rsidR="00DD52E9" w:rsidRDefault="00AD46C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выбранных Заказчиком квалификациях указаны в Приложении № 1 к Договору.</w:t>
      </w:r>
    </w:p>
    <w:p w:rsidR="00DD52E9" w:rsidRDefault="00AD46C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оказать услуги лично или с привлечением третьих лиц. В случае привлечения третьих лиц к оказанию услуг Исполнитель несёт ответственность за  их действия как за свои собственные.</w:t>
      </w:r>
    </w:p>
    <w:p w:rsidR="00DD52E9" w:rsidRDefault="00AD46C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D52E9" w:rsidRDefault="00AD46C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2. Права и обязанности сторон 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Предоставить Заказчику необходимую информацию о правилах проведения профессионального экзамена;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 течение 10 календарных дней после получения комплекта документов сообщить Заказчику о результатах рассмотрения заявления и комплекта документов, а также согласовать с Заказчиком дату, место и время проведения профессионального экзамена;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провести профессиональный экзамен в соответствии с требованиями Федерального закона «О независимой оценке квалификации» №238-ФЗ от 03.07.2016г., иными нормативными правовыми актами Российской Федерации, нормативными документами Совета по профессиональным квалификациям в строительстве, внутренними документами Исполнителя;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на основании решения Совета по профессиональным квалификациям в строительстве по итогам прохождения Заказчиком профессионального экзамена не позднее 30 (тридцати) календарных дней после завершения экзамена оформить и выдать Заказчику свидетельство о квалификации;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Заказчиком неудовлетворительной оценки при прохождении профессионального экзамена Исполнитель обязан в срок установленный настоящим пунктом Договора, оформить и выдать Заказчику заключение о прохождении профессионального экзамена, включающее рекомендации для соискателя.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не разглашать сведения конфиденциального характера, полученные от Заказчика при проведении профессионального экзамена;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в случаях возникновения обстоятельств, препятствующих исполнению Договора, незамедлительно сообщить об этом Заказчику;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в течение 3-х (трех) рабочих дней после окончания профессионального экзамена направить Заказчику Акт оказанных услуг по форме, указанной в Приложении №2 к Договору.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Исполнитель вправе: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отказать Заказчику в допуске к профессиональному экзамену в случае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неполного комплекта документов, или если представленные документы не подтверждают в полной мере наличие образования, стажа работы и иных сведений, необходимых для допуска Заказчика к прохождению профессионального экзамена на соответствие выбранным Заказчиком квалификациям;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требовать оплаты оказанных Заказчику услуг в порядке и на условиях Договора.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Заказчик обязан: 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предоставить Исполнителю все необходимые документы и информацию для получения допуска к прохождению профессионального экзамена по выбранным квалификациям;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своевременно осуществить оплату услуг по проведению независимой оценки квалификации в соответствии с условиями Договора;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подписать Акт оказанных услуг в течение 3-х (трех) рабочих дней со дня его получения от Исполнителя. При наличии претензий по качеству оказанных услуг Заказчик обязан направить претензию Исполнителю в течение 3 (трех) рабочих дней с момента получения от Исполнителя акта оказанных услуг. При не подписании Заказчиком акта оказанных услуг в течение 3 (трех) рабочих дней с момента получения его от Исполнителя, равно как при неполучении Исполнителем претензии Заказчика в установленный в настоящем пункте срок, услуги считаются оказанными надлежащим образом.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Заказчик вправе: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получить всю необходимую информацию о правилах проведения Исполнителем профессионального экзамена, условиях, месте и времени проведения;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в любое время отказаться от услуг по Договору при условии оплаты Исполнителю фактически понесенных им расходов по оказанию услуг, предусмотренных Договором. В случае желания Заказчика пойти профессиональный экзамен в другое время и при наличии такой возможности у Исполнителя, Стороны согласовывает новые условия Договора путем подписания Дополнительного соглашения к нему. </w:t>
      </w:r>
    </w:p>
    <w:p w:rsidR="00DD52E9" w:rsidRDefault="00DD5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2E9" w:rsidRDefault="00AD46C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СТОИМОСТЬ УСЛУГ И ВЗАИМОРАСЧЕТЫ СТОРОН</w:t>
      </w:r>
    </w:p>
    <w:p w:rsidR="00DD52E9" w:rsidRDefault="00DD5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E9" w:rsidRDefault="00AD46C2" w:rsidP="00F61D3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услуг Исполнителя по проведению профессионального</w:t>
      </w:r>
      <w:r w:rsidR="00F61D30">
        <w:rPr>
          <w:rFonts w:ascii="Times New Roman" w:hAnsi="Times New Roman" w:cs="Times New Roman"/>
          <w:sz w:val="24"/>
          <w:szCs w:val="24"/>
        </w:rPr>
        <w:t xml:space="preserve"> экзамена по одной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61D30">
        <w:rPr>
          <w:rFonts w:ascii="Times New Roman" w:hAnsi="Times New Roman" w:cs="Times New Roman"/>
          <w:sz w:val="24"/>
          <w:szCs w:val="24"/>
        </w:rPr>
        <w:t xml:space="preserve">14000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61D30">
        <w:rPr>
          <w:rFonts w:ascii="Times New Roman" w:hAnsi="Times New Roman" w:cs="Times New Roman"/>
          <w:sz w:val="24"/>
          <w:szCs w:val="24"/>
        </w:rPr>
        <w:t>Четырнадцать тысяч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61D30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DD52E9" w:rsidRDefault="00AD4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количества выбранных заказчиком квалификаций согласно Приложению № 1 к Договору, полная стоимость услуг по Договору составляет _________________________(_________________________________) рублей______копеек.</w:t>
      </w:r>
      <w:r w:rsidR="00F61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НДС не облагается (УСН, п. 2 ст.346.11 НК РФ).</w:t>
      </w:r>
    </w:p>
    <w:p w:rsidR="00DD52E9" w:rsidRDefault="00AD4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Заказчик обязуется оплатить услуги Исполнителя на условиях стопроцентной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предоплаты в течение 5-ти (пяти) банковских дней с момента подписания Сторонами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Договора.</w:t>
      </w:r>
    </w:p>
    <w:p w:rsidR="00DD52E9" w:rsidRDefault="00AD4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3.3. Обязательства Заказчика по оплате услуг Исполнителя считаются исполненными с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момента зачисления денежных средств на расчетный счет Исполнителя. </w:t>
      </w:r>
    </w:p>
    <w:p w:rsidR="00F61D30" w:rsidRDefault="00F61D30">
      <w:pPr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DD52E9" w:rsidRDefault="00AD4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4. ФОРС-МАЖОР</w:t>
      </w:r>
    </w:p>
    <w:p w:rsidR="00DD52E9" w:rsidRDefault="00AD46C2">
      <w:pPr>
        <w:spacing w:after="0" w:line="260" w:lineRule="auto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4.1. Ни одна из сторон не будет нести ответственность за полное или частичное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неисполнение любой из своих обязанностей по Договору, если такое неисполнение будет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являться следствием таких обстоятельств, как наводнение, пожар, землетрясение, война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или военные действия, а также решения органов государственной власти Российской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Федерации, вступившие в силу после заключения Договора, непосредственно влияющие</w:t>
      </w:r>
    </w:p>
    <w:p w:rsidR="00DD52E9" w:rsidRDefault="00AD46C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на исполнение сторонами своих обязанностей по Договору.</w:t>
      </w:r>
    </w:p>
    <w:p w:rsidR="00DD52E9" w:rsidRDefault="00AD46C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lastRenderedPageBreak/>
        <w:t>4.2. Если любое из таких обстоятельств непосредственно повлияло на исполнение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обязательств в срок, установленный в Договоре, то этот срок соразмерно отодвигается на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 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время действия соответствующего обстоятельства. </w:t>
      </w:r>
    </w:p>
    <w:p w:rsidR="00DD52E9" w:rsidRDefault="00AD46C2">
      <w:pPr>
        <w:spacing w:after="0" w:line="260" w:lineRule="auto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4.3. Сторона, для которой создалась невозможность исполнения обязательств, обязан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а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немедленно, однако не позднее 5-ти рабочих дней, в письменном виде уведомить другую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сторону о наступлении, предполагаемом сроке действия и прекращения вышеуказанных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обстоятельств. </w:t>
      </w:r>
    </w:p>
    <w:p w:rsidR="00DD52E9" w:rsidRDefault="00AD46C2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4.4. Факты, изложенные в уведомлении, должны быть подтверждены компетентным органом. Отсутствие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уведомления или несвоевременное уведомление лишает стороны права ссылаться на любое вышеуказанное обстоятельство как на основание, освобождающее от ответственности за неисполнение обязательства. </w:t>
      </w:r>
    </w:p>
    <w:p w:rsidR="00F61D30" w:rsidRDefault="00F61D30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E9" w:rsidRDefault="00AD4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5. ОТВЕТСТВЕННОСТЬ СТОРОН И ПОРЯДОК РАЗРЕШЕНИЯ СПОРОВ</w:t>
      </w:r>
    </w:p>
    <w:p w:rsidR="00DD52E9" w:rsidRDefault="00AD46C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5.1. За неисполнение или ненадлежащее исполнение обязательств по Договору Стороны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несут ответственность в соответствии с действующим Гражданским законодательством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РФ. </w:t>
      </w:r>
    </w:p>
    <w:p w:rsidR="00DD52E9" w:rsidRDefault="00AD46C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5.2. Все споры и разногласия, возникшие между Сторонами по Договору или в связи с ним, </w:t>
      </w:r>
    </w:p>
    <w:p w:rsidR="00DD52E9" w:rsidRDefault="00AD46C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будут решаться Сторонами по возможности путем переговоров. </w:t>
      </w:r>
    </w:p>
    <w:p w:rsidR="00DD52E9" w:rsidRDefault="00AD46C2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5.3. В случае невозможности урегулирования разногласий путем переговоров, они подлежат разрешению в судебных органах в соответствии с законодательством РФ. </w:t>
      </w:r>
    </w:p>
    <w:p w:rsidR="00F61D30" w:rsidRDefault="00F61D30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E9" w:rsidRDefault="00AD4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6. СРОК ДЕЙСТВИЯ ДОГОВОРА</w:t>
      </w:r>
    </w:p>
    <w:p w:rsidR="00DD52E9" w:rsidRDefault="00AD46C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6.1. Договор вступает в силу с момента его подписания Сторонами и действует до полного </w:t>
      </w:r>
    </w:p>
    <w:p w:rsidR="00DD52E9" w:rsidRDefault="00AD46C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выполнения ими принятых на себя обязательств по Договору. </w:t>
      </w:r>
    </w:p>
    <w:p w:rsidR="00DD52E9" w:rsidRDefault="00AD46C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6.2. Договор в части взаиморасчетов между Сторонами по ранее возникшим обязательствам в период действия Договора действует до момента исполнения Сторонами своих обязанностей по нему в полном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объёме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DD52E9" w:rsidRDefault="00AD46C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>6.3. Договор и любые изменения и дополнения к нему имеют силу только в том случае, если они оформлены в письменном виде и подписаны полномочными представителями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Сторон. </w:t>
      </w:r>
    </w:p>
    <w:p w:rsidR="00DD52E9" w:rsidRDefault="00AD46C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6.4. Досрочное расторжение Договора также может иметь место по соглашению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n-US" w:eastAsia="zh-CN" w:bidi="ar"/>
        </w:rPr>
        <w:t>Сторон,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n-US" w:eastAsia="zh-CN" w:bidi="ar"/>
        </w:rPr>
        <w:t xml:space="preserve">либо по основаниям, предусмотренным Гражданским кодексом РФ. </w:t>
      </w:r>
    </w:p>
    <w:p w:rsidR="00DD52E9" w:rsidRDefault="00AD46C2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6.5. Документы, подписанные Сторонами в связи с Договором, в том числе непосредственно Договор, приложения к нему, изменения, дополнения, иные соглашения, подписанные и преданные с использованием факсимильной связи, имеют юридическую силу до момента получения Сторонами оригиналов документов, направленных по почте заказным письмом или с курьером. Обязанность доказательства подлинности документов, направленных по факсу, лежит на Стороне изготовившей и передавшей такой документ. </w:t>
      </w:r>
    </w:p>
    <w:p w:rsidR="00F61D30" w:rsidRDefault="00F61D30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E9" w:rsidRDefault="00AD4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7. ПРОЧИЕ УСЛОВИЯ</w:t>
      </w:r>
    </w:p>
    <w:p w:rsidR="00DD52E9" w:rsidRDefault="00AD46C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7.1. Договор составлен в двух экземплярах, имеющих равную юридическую силу, по одному для каждой из Сторон. </w:t>
      </w:r>
    </w:p>
    <w:p w:rsidR="00DD52E9" w:rsidRDefault="00AD46C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7.2. Ни одна из Сторон не имеет права передавать третьему лицу права и обязанности по </w:t>
      </w:r>
    </w:p>
    <w:p w:rsidR="00DD52E9" w:rsidRPr="00F61D30" w:rsidRDefault="00AD46C2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  <w:r w:rsidRPr="00F61D30"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  <w:t xml:space="preserve">Договору без письменного согласия другой Стороны. </w:t>
      </w:r>
    </w:p>
    <w:p w:rsidR="00DD52E9" w:rsidRPr="00F61D30" w:rsidRDefault="00DD52E9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</w:p>
    <w:p w:rsidR="00DD52E9" w:rsidRPr="00F61D30" w:rsidRDefault="00DD52E9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</w:p>
    <w:p w:rsidR="00DD52E9" w:rsidRPr="00F61D30" w:rsidRDefault="00DD52E9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</w:p>
    <w:p w:rsidR="00DD52E9" w:rsidRPr="00F61D30" w:rsidRDefault="00DD52E9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</w:p>
    <w:p w:rsidR="00DD52E9" w:rsidRPr="00F61D30" w:rsidRDefault="00DD52E9">
      <w:pPr>
        <w:spacing w:after="0" w:line="2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zh-CN" w:bidi="ar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DD52E9">
        <w:trPr>
          <w:trHeight w:val="41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D52E9" w:rsidRDefault="00AD4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D52E9" w:rsidRDefault="00AD4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111B4A">
        <w:trPr>
          <w:trHeight w:val="178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7"/>
            </w:tblGrid>
            <w:tr w:rsidR="00111B4A" w:rsidRPr="00554548" w:rsidTr="00183B66">
              <w:tc>
                <w:tcPr>
                  <w:tcW w:w="4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11B4A" w:rsidRPr="00554548" w:rsidRDefault="00111B4A" w:rsidP="00111B4A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"ЦЕНТР ОЦЕНКИ КВАЛИФИКАЦИИ САМАРА" </w:t>
                  </w:r>
                </w:p>
              </w:tc>
            </w:tr>
          </w:tbl>
          <w:p w:rsidR="00111B4A" w:rsidRPr="00554548" w:rsidRDefault="00111B4A" w:rsidP="00111B4A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7"/>
            </w:tblGrid>
            <w:tr w:rsidR="00111B4A" w:rsidRPr="00554548" w:rsidTr="00183B66">
              <w:tc>
                <w:tcPr>
                  <w:tcW w:w="4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11B4A" w:rsidRPr="00554548" w:rsidRDefault="00111B4A" w:rsidP="00111B4A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Юр.адрес: 443041, г.Самара, 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улица Никитинская, д. 53, оф. 50              Факт.адрес: 443010, г.Самара, ул.Чапаевская, д.174, каб.№3,4</w:t>
                  </w:r>
                </w:p>
              </w:tc>
            </w:tr>
          </w:tbl>
          <w:p w:rsidR="00111B4A" w:rsidRPr="00554548" w:rsidRDefault="00111B4A" w:rsidP="00111B4A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1B4A" w:rsidRPr="00554548" w:rsidRDefault="00111B4A" w:rsidP="00111B4A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1B4A" w:rsidRPr="00554548" w:rsidRDefault="00111B4A" w:rsidP="00111B4A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</w:tblGrid>
            <w:tr w:rsidR="00111B4A" w:rsidRPr="00554548" w:rsidTr="00183B66"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11B4A" w:rsidRPr="00554548" w:rsidRDefault="00111B4A" w:rsidP="00111B4A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ИНН: 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6311193772</w:t>
                  </w:r>
                </w:p>
              </w:tc>
            </w:tr>
          </w:tbl>
          <w:p w:rsidR="00111B4A" w:rsidRPr="00554548" w:rsidRDefault="00111B4A" w:rsidP="00111B4A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7"/>
            </w:tblGrid>
            <w:tr w:rsidR="00111B4A" w:rsidRPr="00554548" w:rsidTr="00183B66">
              <w:tc>
                <w:tcPr>
                  <w:tcW w:w="4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11B4A" w:rsidRPr="00554548" w:rsidRDefault="00111B4A" w:rsidP="00111B4A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КПП: 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631101001                                     ОГРН: 1226300019428</w:t>
                  </w:r>
                </w:p>
              </w:tc>
            </w:tr>
          </w:tbl>
          <w:p w:rsidR="00111B4A" w:rsidRPr="00554548" w:rsidRDefault="00111B4A" w:rsidP="00111B4A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7"/>
            </w:tblGrid>
            <w:tr w:rsidR="00111B4A" w:rsidRPr="00554548" w:rsidTr="00183B66">
              <w:tc>
                <w:tcPr>
                  <w:tcW w:w="4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11B4A" w:rsidRPr="00554548" w:rsidRDefault="00111B4A" w:rsidP="00111B4A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Банк: 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ФИЛИАЛ "НИЖЕГОРОДСКИЙ" АО "АЛЬФА-БАНК"  </w:t>
                  </w: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Р/с: 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40702810029180014474</w:t>
                  </w:r>
                </w:p>
              </w:tc>
            </w:tr>
          </w:tbl>
          <w:p w:rsidR="00111B4A" w:rsidRPr="00554548" w:rsidRDefault="00111B4A" w:rsidP="00111B4A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0"/>
            </w:tblGrid>
            <w:tr w:rsidR="00111B4A" w:rsidRPr="00554548" w:rsidTr="00183B66"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11B4A" w:rsidRPr="00554548" w:rsidRDefault="00111B4A" w:rsidP="00111B4A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К/с: 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30101810200000000824</w:t>
                  </w:r>
                </w:p>
              </w:tc>
            </w:tr>
          </w:tbl>
          <w:p w:rsidR="00111B4A" w:rsidRPr="00554548" w:rsidRDefault="00111B4A" w:rsidP="00111B4A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55454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7"/>
            </w:tblGrid>
            <w:tr w:rsidR="00111B4A" w:rsidRPr="00554548" w:rsidTr="00183B66">
              <w:tc>
                <w:tcPr>
                  <w:tcW w:w="4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11B4A" w:rsidRPr="00554548" w:rsidRDefault="00111B4A" w:rsidP="00111B4A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БИК: </w:t>
                  </w:r>
                  <w:r w:rsidRPr="005545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042202824                                  Эл.почта: cok_samara@mail.ru</w:t>
                  </w:r>
                </w:p>
                <w:p w:rsidR="00111B4A" w:rsidRPr="00554548" w:rsidRDefault="00111B4A" w:rsidP="00111B4A">
                  <w:pPr>
                    <w:spacing w:before="100" w:beforeAutospacing="1" w:after="100" w:afterAutospacing="1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4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_____________________/С.В. Двоенко/</w:t>
                  </w:r>
                </w:p>
              </w:tc>
            </w:tr>
          </w:tbl>
          <w:p w:rsidR="00111B4A" w:rsidRDefault="00111B4A">
            <w:pPr>
              <w:spacing w:after="120" w:line="240" w:lineRule="auto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11B4A" w:rsidRPr="00111B4A" w:rsidRDefault="00111B4A" w:rsidP="00111B4A">
            <w:p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ФИО:</w:t>
            </w:r>
          </w:p>
          <w:p w:rsidR="00111B4A" w:rsidRDefault="00111B4A" w:rsidP="0011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Паспорт:</w:t>
            </w:r>
          </w:p>
          <w:p w:rsidR="00111B4A" w:rsidRDefault="00111B4A" w:rsidP="0011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Эл.почта:</w:t>
            </w:r>
          </w:p>
          <w:p w:rsidR="00111B4A" w:rsidRDefault="00111B4A" w:rsidP="0011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111B4A" w:rsidRPr="00554548" w:rsidRDefault="00111B4A" w:rsidP="0011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4A" w:rsidRDefault="00111B4A" w:rsidP="00111B4A">
            <w:pPr>
              <w:pStyle w:val="ConsPlusNormal"/>
            </w:pPr>
            <w:r w:rsidRPr="005545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111B4A" w:rsidTr="00A5521D">
        <w:trPr>
          <w:trHeight w:val="123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11B4A" w:rsidRDefault="00111B4A">
            <w:pPr>
              <w:pStyle w:val="ConsPlusNormal"/>
            </w:pPr>
          </w:p>
        </w:tc>
        <w:tc>
          <w:tcPr>
            <w:tcW w:w="4530" w:type="dxa"/>
            <w:tcBorders>
              <w:top w:val="nil"/>
              <w:left w:val="nil"/>
              <w:right w:val="nil"/>
            </w:tcBorders>
          </w:tcPr>
          <w:p w:rsidR="00111B4A" w:rsidRDefault="00111B4A">
            <w:pPr>
              <w:pStyle w:val="ConsPlusNormal"/>
            </w:pPr>
          </w:p>
        </w:tc>
      </w:tr>
      <w:tr w:rsidR="00111B4A" w:rsidTr="00A5521D">
        <w:trPr>
          <w:trHeight w:val="196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11B4A" w:rsidRPr="00F61D30" w:rsidRDefault="00111B4A" w:rsidP="00F61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left w:val="nil"/>
              <w:right w:val="nil"/>
            </w:tcBorders>
          </w:tcPr>
          <w:p w:rsidR="00111B4A" w:rsidRDefault="00111B4A">
            <w:pPr>
              <w:pStyle w:val="ConsPlusNormal"/>
            </w:pPr>
          </w:p>
        </w:tc>
      </w:tr>
      <w:tr w:rsidR="00111B4A" w:rsidTr="00DF2321">
        <w:trPr>
          <w:trHeight w:val="3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11B4A" w:rsidRPr="00F61D30" w:rsidRDefault="00111B4A" w:rsidP="00F61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11B4A" w:rsidRDefault="00111B4A">
            <w:pPr>
              <w:pStyle w:val="ConsPlusNormal"/>
            </w:pPr>
          </w:p>
        </w:tc>
      </w:tr>
      <w:tr w:rsidR="00111B4A" w:rsidTr="006D3E2B">
        <w:trPr>
          <w:trHeight w:val="452"/>
        </w:trPr>
        <w:tc>
          <w:tcPr>
            <w:tcW w:w="4530" w:type="dxa"/>
            <w:tcBorders>
              <w:top w:val="nil"/>
              <w:left w:val="nil"/>
              <w:right w:val="nil"/>
            </w:tcBorders>
          </w:tcPr>
          <w:p w:rsidR="00111B4A" w:rsidRDefault="00111B4A">
            <w:pPr>
              <w:pStyle w:val="ConsPlusNormal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11B4A" w:rsidRDefault="00111B4A">
            <w:pPr>
              <w:pStyle w:val="ConsPlusNormal"/>
            </w:pPr>
          </w:p>
        </w:tc>
      </w:tr>
      <w:tr w:rsidR="00111B4A" w:rsidTr="00DF2321">
        <w:trPr>
          <w:trHeight w:val="375"/>
        </w:trPr>
        <w:tc>
          <w:tcPr>
            <w:tcW w:w="4530" w:type="dxa"/>
            <w:vMerge w:val="restart"/>
            <w:tcBorders>
              <w:left w:val="nil"/>
              <w:bottom w:val="nil"/>
              <w:right w:val="nil"/>
            </w:tcBorders>
          </w:tcPr>
          <w:p w:rsidR="00111B4A" w:rsidRDefault="00111B4A">
            <w:pPr>
              <w:pStyle w:val="ConsPlusNormal"/>
            </w:pPr>
          </w:p>
        </w:tc>
        <w:tc>
          <w:tcPr>
            <w:tcW w:w="4530" w:type="dxa"/>
            <w:tcBorders>
              <w:top w:val="nil"/>
              <w:left w:val="nil"/>
              <w:right w:val="nil"/>
            </w:tcBorders>
          </w:tcPr>
          <w:p w:rsidR="00111B4A" w:rsidRDefault="00111B4A">
            <w:pPr>
              <w:pStyle w:val="ConsPlusNormal"/>
            </w:pPr>
          </w:p>
        </w:tc>
      </w:tr>
      <w:tr w:rsidR="00111B4A" w:rsidTr="00DF2321">
        <w:trPr>
          <w:trHeight w:val="312"/>
        </w:trPr>
        <w:tc>
          <w:tcPr>
            <w:tcW w:w="4530" w:type="dxa"/>
            <w:vMerge/>
            <w:tcBorders>
              <w:top w:val="nil"/>
              <w:left w:val="nil"/>
              <w:right w:val="nil"/>
            </w:tcBorders>
          </w:tcPr>
          <w:p w:rsidR="00111B4A" w:rsidRDefault="00111B4A">
            <w:pPr>
              <w:pStyle w:val="ConsPlusNormal"/>
            </w:pPr>
          </w:p>
        </w:tc>
        <w:tc>
          <w:tcPr>
            <w:tcW w:w="4530" w:type="dxa"/>
            <w:vMerge w:val="restart"/>
            <w:tcBorders>
              <w:left w:val="nil"/>
              <w:right w:val="nil"/>
            </w:tcBorders>
          </w:tcPr>
          <w:p w:rsidR="00111B4A" w:rsidRDefault="00111B4A">
            <w:pPr>
              <w:pStyle w:val="ConsPlusNormal"/>
              <w:jc w:val="center"/>
            </w:pPr>
          </w:p>
        </w:tc>
      </w:tr>
      <w:tr w:rsidR="00111B4A" w:rsidTr="006D3E2B">
        <w:trPr>
          <w:trHeight w:val="362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11B4A" w:rsidRDefault="00111B4A">
            <w:pPr>
              <w:pStyle w:val="ConsPlusNormal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Merge/>
            <w:tcBorders>
              <w:left w:val="nil"/>
              <w:right w:val="nil"/>
            </w:tcBorders>
          </w:tcPr>
          <w:p w:rsidR="00111B4A" w:rsidRDefault="00111B4A">
            <w:pPr>
              <w:pStyle w:val="ConsPlusNormal"/>
            </w:pPr>
          </w:p>
        </w:tc>
      </w:tr>
    </w:tbl>
    <w:p w:rsidR="00F61D30" w:rsidRDefault="00F61D30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2E9" w:rsidRDefault="00AD46C2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D52E9" w:rsidRDefault="00AD46C2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оказания услуг №_______</w:t>
      </w:r>
    </w:p>
    <w:p w:rsidR="00DD52E9" w:rsidRDefault="00AD46C2">
      <w:pPr>
        <w:wordWrap w:val="0"/>
        <w:spacing w:after="0" w:line="2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«____» ____________2022г. </w:t>
      </w:r>
    </w:p>
    <w:p w:rsidR="00DD52E9" w:rsidRDefault="00DD52E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AD4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выбранных Заказчиком квалификаций </w:t>
      </w:r>
    </w:p>
    <w:p w:rsidR="00DD52E9" w:rsidRDefault="00DD5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8725"/>
      </w:tblGrid>
      <w:tr w:rsidR="00DD52E9">
        <w:tc>
          <w:tcPr>
            <w:tcW w:w="625" w:type="dxa"/>
          </w:tcPr>
          <w:p w:rsidR="00DD52E9" w:rsidRDefault="00AD4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:rsidR="00DD52E9" w:rsidRDefault="00AD4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квалификации</w:t>
            </w:r>
          </w:p>
        </w:tc>
      </w:tr>
      <w:tr w:rsidR="00DD52E9">
        <w:tc>
          <w:tcPr>
            <w:tcW w:w="625" w:type="dxa"/>
          </w:tcPr>
          <w:p w:rsidR="00DD52E9" w:rsidRDefault="00AD4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46" w:type="dxa"/>
          </w:tcPr>
          <w:p w:rsidR="00DD52E9" w:rsidRDefault="00DD5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2E9">
        <w:tc>
          <w:tcPr>
            <w:tcW w:w="625" w:type="dxa"/>
          </w:tcPr>
          <w:p w:rsidR="00DD52E9" w:rsidRDefault="00AD4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46" w:type="dxa"/>
          </w:tcPr>
          <w:p w:rsidR="00DD52E9" w:rsidRDefault="00DD5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2E9">
        <w:tc>
          <w:tcPr>
            <w:tcW w:w="625" w:type="dxa"/>
          </w:tcPr>
          <w:p w:rsidR="00DD52E9" w:rsidRDefault="00AD4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46" w:type="dxa"/>
          </w:tcPr>
          <w:p w:rsidR="00DD52E9" w:rsidRDefault="00DD5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2E9">
        <w:tc>
          <w:tcPr>
            <w:tcW w:w="625" w:type="dxa"/>
          </w:tcPr>
          <w:p w:rsidR="00DD52E9" w:rsidRDefault="00AD4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46" w:type="dxa"/>
          </w:tcPr>
          <w:p w:rsidR="00DD52E9" w:rsidRDefault="00DD5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52E9" w:rsidRDefault="00DD5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AD4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Исполнителя                                                                     Заказчик: </w:t>
      </w:r>
    </w:p>
    <w:p w:rsidR="00DD52E9" w:rsidRDefault="00AD4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ООО «ЦОК Самара»                                         </w:t>
      </w:r>
    </w:p>
    <w:p w:rsidR="00DD52E9" w:rsidRDefault="00AD4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________________С.В. Двоенко                                          ___________________(_________)</w:t>
      </w:r>
    </w:p>
    <w:p w:rsidR="00DD52E9" w:rsidRDefault="00AD4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DD5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AD46C2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52E9" w:rsidRDefault="00AD46C2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_________</w:t>
      </w:r>
    </w:p>
    <w:p w:rsidR="00DD52E9" w:rsidRDefault="00AD46C2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«____»_____________2022г.</w:t>
      </w:r>
    </w:p>
    <w:p w:rsidR="00DD52E9" w:rsidRDefault="00DD52E9">
      <w:pPr>
        <w:wordWrap w:val="0"/>
        <w:spacing w:after="0" w:line="2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2E9" w:rsidRDefault="00DD52E9">
      <w:pPr>
        <w:wordWrap w:val="0"/>
        <w:spacing w:after="0" w:line="2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AD46C2">
      <w:pPr>
        <w:spacing w:after="0" w:line="2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 оказанных услуг </w:t>
      </w:r>
    </w:p>
    <w:p w:rsidR="00DD52E9" w:rsidRDefault="00DD52E9">
      <w:pPr>
        <w:spacing w:after="0" w:line="2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AD46C2"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Самара                                                                                              «_____»___________2022г.</w:t>
      </w:r>
    </w:p>
    <w:p w:rsidR="00DD52E9" w:rsidRDefault="00DD52E9"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</w:p>
    <w:p w:rsidR="00DD52E9" w:rsidRDefault="00AD46C2">
      <w:pPr>
        <w:spacing w:after="0" w:line="2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"ЦЕНТР ОЦЕНКИ КВАЛИФИКАЦИИ САМАРА" ООО «ЦОК Самара»</w:t>
      </w:r>
      <w:r>
        <w:rPr>
          <w:rFonts w:ascii="Times New Roman" w:hAnsi="Times New Roman" w:cs="Times New Roman"/>
          <w:sz w:val="24"/>
          <w:szCs w:val="24"/>
        </w:rPr>
        <w:t xml:space="preserve"> далее именуемое "Исполнитель" в лице директора Двоенко Светланы Валентиновны, действующего на основании Устава, с одной стороны, и гражданин РФ _____________________________________________________________________________ (Ф.И.О.), далее именуемый "Заказчик", с другой стороны, далее совместно именуемые "Стороны", заключили настоящий договор (далее - Договор) о нижеследующем:</w:t>
      </w:r>
    </w:p>
    <w:p w:rsidR="00DD52E9" w:rsidRDefault="00DD52E9"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</w:p>
    <w:p w:rsidR="00DD52E9" w:rsidRDefault="00AD46C2">
      <w:pPr>
        <w:numPr>
          <w:ilvl w:val="0"/>
          <w:numId w:val="2"/>
        </w:num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оказал Заказчику услуги по проведению независимой оценки квалификации его представителей в форме профессионального экзамена:</w:t>
      </w:r>
    </w:p>
    <w:p w:rsidR="00DD52E9" w:rsidRDefault="00DD52E9">
      <w:pPr>
        <w:spacing w:after="0" w:line="2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8725"/>
      </w:tblGrid>
      <w:tr w:rsidR="00DD52E9">
        <w:tc>
          <w:tcPr>
            <w:tcW w:w="625" w:type="dxa"/>
          </w:tcPr>
          <w:p w:rsidR="00DD52E9" w:rsidRDefault="00AD4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:rsidR="00DD52E9" w:rsidRDefault="00AD4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квалификации</w:t>
            </w:r>
          </w:p>
        </w:tc>
      </w:tr>
      <w:tr w:rsidR="00DD52E9">
        <w:tc>
          <w:tcPr>
            <w:tcW w:w="625" w:type="dxa"/>
          </w:tcPr>
          <w:p w:rsidR="00DD52E9" w:rsidRDefault="00AD4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46" w:type="dxa"/>
          </w:tcPr>
          <w:p w:rsidR="00DD52E9" w:rsidRDefault="00DD5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2E9">
        <w:tc>
          <w:tcPr>
            <w:tcW w:w="625" w:type="dxa"/>
          </w:tcPr>
          <w:p w:rsidR="00DD52E9" w:rsidRDefault="00AD4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46" w:type="dxa"/>
          </w:tcPr>
          <w:p w:rsidR="00DD52E9" w:rsidRDefault="00DD5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2E9">
        <w:tc>
          <w:tcPr>
            <w:tcW w:w="625" w:type="dxa"/>
          </w:tcPr>
          <w:p w:rsidR="00DD52E9" w:rsidRDefault="00AD4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46" w:type="dxa"/>
          </w:tcPr>
          <w:p w:rsidR="00DD52E9" w:rsidRDefault="00DD5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2E9">
        <w:tc>
          <w:tcPr>
            <w:tcW w:w="625" w:type="dxa"/>
          </w:tcPr>
          <w:p w:rsidR="00DD52E9" w:rsidRDefault="00AD4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46" w:type="dxa"/>
          </w:tcPr>
          <w:p w:rsidR="00DD52E9" w:rsidRDefault="00DD5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52E9" w:rsidRDefault="00DD5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E9" w:rsidRDefault="00AD46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на себя Исполнителем обязательства по Договору исполнены полностью и в срок в соответствии с условиями настоящего Договора.</w:t>
      </w:r>
    </w:p>
    <w:p w:rsidR="00DD52E9" w:rsidRDefault="00AD46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оказано услуг на сумму___________(______________________)рублей____копеек.</w:t>
      </w:r>
    </w:p>
    <w:p w:rsidR="00DD52E9" w:rsidRDefault="00AD46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Исполнителю Заказчик по объёму, качеству и срокам оказания услуг не имеет.</w:t>
      </w:r>
    </w:p>
    <w:p w:rsidR="00DD52E9" w:rsidRDefault="00AD46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и подписан в двух подлинных экземплярах, имеющих одинаковую юридическую силу.</w:t>
      </w:r>
    </w:p>
    <w:p w:rsidR="00DD52E9" w:rsidRDefault="00DD52E9">
      <w:pPr>
        <w:rPr>
          <w:rFonts w:ascii="Times New Roman" w:hAnsi="Times New Roman" w:cs="Times New Roman"/>
          <w:sz w:val="24"/>
          <w:szCs w:val="24"/>
        </w:rPr>
      </w:pPr>
    </w:p>
    <w:p w:rsidR="00DD52E9" w:rsidRDefault="00AD4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Исполнителя                                                                     Заказчик: </w:t>
      </w:r>
    </w:p>
    <w:p w:rsidR="00DD52E9" w:rsidRDefault="00AD4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ООО «ЦОК Самара»                                         </w:t>
      </w:r>
    </w:p>
    <w:p w:rsidR="00DD52E9" w:rsidRDefault="00AD46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________________С.В. Двоенко                                          </w:t>
      </w:r>
    </w:p>
    <w:p w:rsidR="00DD52E9" w:rsidRPr="005C16DC" w:rsidRDefault="00AD46C2" w:rsidP="005C16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М.П.</w:t>
      </w:r>
    </w:p>
    <w:sectPr w:rsidR="00DD52E9" w:rsidRPr="005C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1A" w:rsidRDefault="00CC781A">
      <w:pPr>
        <w:spacing w:line="240" w:lineRule="auto"/>
      </w:pPr>
      <w:r>
        <w:separator/>
      </w:r>
    </w:p>
  </w:endnote>
  <w:endnote w:type="continuationSeparator" w:id="0">
    <w:p w:rsidR="00CC781A" w:rsidRDefault="00CC7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G Times"/>
    <w:panose1 w:val="02020603050405020304"/>
    <w:charset w:val="00"/>
    <w:family w:val="auto"/>
    <w:pitch w:val="default"/>
  </w:font>
  <w:font w:name="TimesNewRomanPS-BoldMT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1A" w:rsidRDefault="00CC781A">
      <w:pPr>
        <w:spacing w:after="0"/>
      </w:pPr>
      <w:r>
        <w:separator/>
      </w:r>
    </w:p>
  </w:footnote>
  <w:footnote w:type="continuationSeparator" w:id="0">
    <w:p w:rsidR="00CC781A" w:rsidRDefault="00CC78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62E3BB"/>
    <w:multiLevelType w:val="singleLevel"/>
    <w:tmpl w:val="BF62E3B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7F96970"/>
    <w:multiLevelType w:val="multilevel"/>
    <w:tmpl w:val="17F96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50"/>
    <w:rsid w:val="000E7A74"/>
    <w:rsid w:val="00111B4A"/>
    <w:rsid w:val="00235FBC"/>
    <w:rsid w:val="00357C50"/>
    <w:rsid w:val="00465BD5"/>
    <w:rsid w:val="005C16DC"/>
    <w:rsid w:val="00673D83"/>
    <w:rsid w:val="007E0BD0"/>
    <w:rsid w:val="00945963"/>
    <w:rsid w:val="009F7440"/>
    <w:rsid w:val="00AD46C2"/>
    <w:rsid w:val="00B33CBE"/>
    <w:rsid w:val="00B87C4C"/>
    <w:rsid w:val="00BC79A7"/>
    <w:rsid w:val="00BE3601"/>
    <w:rsid w:val="00CC781A"/>
    <w:rsid w:val="00DD52E9"/>
    <w:rsid w:val="00F43C1A"/>
    <w:rsid w:val="00F61D30"/>
    <w:rsid w:val="0217624D"/>
    <w:rsid w:val="068B0C40"/>
    <w:rsid w:val="3CDB3DEF"/>
    <w:rsid w:val="40D05A21"/>
    <w:rsid w:val="4BAD39ED"/>
    <w:rsid w:val="51B93216"/>
    <w:rsid w:val="59F77CCC"/>
    <w:rsid w:val="5B3D74F8"/>
    <w:rsid w:val="5D1160E9"/>
    <w:rsid w:val="64C74566"/>
    <w:rsid w:val="6A7B554A"/>
    <w:rsid w:val="76025100"/>
    <w:rsid w:val="7D691ED1"/>
    <w:rsid w:val="7E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3BE4"/>
  <w15:docId w15:val="{D4A439B7-3523-4DE9-B1AB-22A5EEC1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54D8024C8C1D92A4FDBE5611AA17D1934A85A131CD34F96F14B0CF0C74D4563CBD5A2CB8BE8B1CD82C9CE20F118C4A658FC7C9672B1EAX4B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1734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Валентина Александровна</dc:creator>
  <cp:lastModifiedBy>Артемьева Светлана Валентиновна</cp:lastModifiedBy>
  <cp:revision>6</cp:revision>
  <dcterms:created xsi:type="dcterms:W3CDTF">2022-10-14T10:07:00Z</dcterms:created>
  <dcterms:modified xsi:type="dcterms:W3CDTF">2022-10-20T13:27:00Z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CB153976BD4A42E78B10E0FAE45CA813</vt:lpwstr>
  </property>
</Properties>
</file>